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143" w:rsidRDefault="00315119" w:rsidP="00315119">
      <w:pPr>
        <w:tabs>
          <w:tab w:val="left" w:pos="8670"/>
        </w:tabs>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b/>
      </w:r>
    </w:p>
    <w:p w:rsidR="00A92143" w:rsidRDefault="00A92143" w:rsidP="00982AFD">
      <w:pPr>
        <w:spacing w:after="0" w:line="480" w:lineRule="auto"/>
        <w:rPr>
          <w:rFonts w:ascii="Times New Roman" w:eastAsia="Times New Roman" w:hAnsi="Times New Roman" w:cs="Times New Roman"/>
          <w:color w:val="0E101A"/>
          <w:sz w:val="24"/>
          <w:szCs w:val="24"/>
        </w:rPr>
      </w:pPr>
    </w:p>
    <w:p w:rsidR="00A92143" w:rsidRDefault="00A92143" w:rsidP="00982AFD">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Students name: </w:t>
      </w:r>
    </w:p>
    <w:p w:rsidR="00A92143" w:rsidRDefault="00A92143" w:rsidP="00982AFD">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Institutional affiliation:</w:t>
      </w:r>
    </w:p>
    <w:p w:rsidR="00A92143" w:rsidRDefault="00A92143" w:rsidP="00982AFD">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Due date: </w:t>
      </w:r>
    </w:p>
    <w:p w:rsidR="00A92143" w:rsidRDefault="00A92143" w:rsidP="00982AFD">
      <w:pPr>
        <w:spacing w:after="0" w:line="480" w:lineRule="auto"/>
        <w:rPr>
          <w:rFonts w:ascii="Times New Roman" w:eastAsia="Times New Roman" w:hAnsi="Times New Roman" w:cs="Times New Roman"/>
          <w:color w:val="0E101A"/>
          <w:sz w:val="24"/>
          <w:szCs w:val="24"/>
        </w:rPr>
      </w:pPr>
    </w:p>
    <w:p w:rsidR="00A92143" w:rsidRDefault="00A92143" w:rsidP="00982AFD">
      <w:pPr>
        <w:spacing w:after="0" w:line="480" w:lineRule="auto"/>
        <w:rPr>
          <w:rFonts w:ascii="Times New Roman" w:eastAsia="Times New Roman" w:hAnsi="Times New Roman" w:cs="Times New Roman"/>
          <w:color w:val="0E101A"/>
          <w:sz w:val="24"/>
          <w:szCs w:val="24"/>
        </w:rPr>
      </w:pPr>
    </w:p>
    <w:p w:rsidR="00960A30" w:rsidRPr="00960A30" w:rsidRDefault="00960A30" w:rsidP="00C97DA2">
      <w:pPr>
        <w:spacing w:after="0" w:line="480" w:lineRule="auto"/>
        <w:jc w:val="center"/>
        <w:rPr>
          <w:rFonts w:ascii="Times New Roman" w:eastAsia="Times New Roman" w:hAnsi="Times New Roman" w:cs="Times New Roman"/>
          <w:color w:val="0E101A"/>
          <w:sz w:val="24"/>
          <w:szCs w:val="24"/>
        </w:rPr>
      </w:pPr>
      <w:r w:rsidRPr="00960A30">
        <w:rPr>
          <w:rFonts w:ascii="Times New Roman" w:eastAsia="Times New Roman" w:hAnsi="Times New Roman" w:cs="Times New Roman"/>
          <w:color w:val="0E101A"/>
          <w:sz w:val="24"/>
          <w:szCs w:val="24"/>
        </w:rPr>
        <w:t>Historical Context method Lab: Master of None s2, e8, “Thanksgiving”</w:t>
      </w:r>
    </w:p>
    <w:p w:rsidR="00960A30" w:rsidRPr="00960A30" w:rsidRDefault="00960A30" w:rsidP="00982AFD">
      <w:pPr>
        <w:spacing w:after="0" w:line="480" w:lineRule="auto"/>
        <w:rPr>
          <w:rFonts w:ascii="Times New Roman" w:eastAsia="Times New Roman" w:hAnsi="Times New Roman" w:cs="Times New Roman"/>
          <w:color w:val="0E101A"/>
          <w:sz w:val="24"/>
          <w:szCs w:val="24"/>
        </w:rPr>
      </w:pPr>
      <w:r w:rsidRPr="00960A30">
        <w:rPr>
          <w:rFonts w:ascii="Times New Roman" w:eastAsia="Times New Roman" w:hAnsi="Times New Roman" w:cs="Times New Roman"/>
          <w:color w:val="0E101A"/>
          <w:sz w:val="24"/>
          <w:szCs w:val="24"/>
        </w:rPr>
        <w:t>Introduction.</w:t>
      </w:r>
    </w:p>
    <w:p w:rsidR="00960A30" w:rsidRPr="00960A30" w:rsidRDefault="00960A30" w:rsidP="00982AFD">
      <w:pPr>
        <w:spacing w:after="0" w:line="480" w:lineRule="auto"/>
        <w:rPr>
          <w:rFonts w:ascii="Times New Roman" w:eastAsia="Times New Roman" w:hAnsi="Times New Roman" w:cs="Times New Roman"/>
          <w:color w:val="0E101A"/>
          <w:sz w:val="24"/>
          <w:szCs w:val="24"/>
        </w:rPr>
      </w:pPr>
      <w:r w:rsidRPr="00960A30">
        <w:rPr>
          <w:rFonts w:ascii="Times New Roman" w:eastAsia="Times New Roman" w:hAnsi="Times New Roman" w:cs="Times New Roman"/>
          <w:color w:val="0E101A"/>
          <w:sz w:val="24"/>
          <w:szCs w:val="24"/>
        </w:rPr>
        <w:t xml:space="preserve">The media play an important part in society. They give reports on current matters, mobilize citizens and entertain. The media can be used in the promotion of gender inequalities in both employment terms and representation of men and women in media platforms (Mwangi </w:t>
      </w:r>
      <w:proofErr w:type="gramStart"/>
      <w:r w:rsidRPr="00960A30">
        <w:rPr>
          <w:rFonts w:ascii="Times New Roman" w:eastAsia="Times New Roman" w:hAnsi="Times New Roman" w:cs="Times New Roman"/>
          <w:color w:val="0E101A"/>
          <w:sz w:val="24"/>
          <w:szCs w:val="24"/>
        </w:rPr>
        <w:t>et</w:t>
      </w:r>
      <w:proofErr w:type="gramEnd"/>
      <w:r w:rsidRPr="00960A30">
        <w:rPr>
          <w:rFonts w:ascii="Times New Roman" w:eastAsia="Times New Roman" w:hAnsi="Times New Roman" w:cs="Times New Roman"/>
          <w:color w:val="0E101A"/>
          <w:sz w:val="24"/>
          <w:szCs w:val="24"/>
        </w:rPr>
        <w:t xml:space="preserve"> al.2016). Although the number of women representation in the media has recently increased, most top positions are still held by men. Studies show that female journalists are assigned to cover simple topics such as lifestyle while male journalists handle serious and complicated topics such as politics. Women representation in media platforms such as television and radio is likely to empower other women and young girls and raise the dignity of women.</w:t>
      </w:r>
    </w:p>
    <w:p w:rsidR="00960A30" w:rsidRPr="00960A30" w:rsidRDefault="00960A30" w:rsidP="00982AFD">
      <w:pPr>
        <w:numPr>
          <w:ilvl w:val="0"/>
          <w:numId w:val="3"/>
        </w:numPr>
        <w:spacing w:after="0" w:line="480" w:lineRule="auto"/>
        <w:rPr>
          <w:rFonts w:ascii="Times New Roman" w:eastAsia="Times New Roman" w:hAnsi="Times New Roman" w:cs="Times New Roman"/>
          <w:color w:val="0E101A"/>
          <w:sz w:val="24"/>
          <w:szCs w:val="24"/>
        </w:rPr>
      </w:pPr>
      <w:r w:rsidRPr="00960A30">
        <w:rPr>
          <w:rFonts w:ascii="Times New Roman" w:eastAsia="Times New Roman" w:hAnsi="Times New Roman" w:cs="Times New Roman"/>
          <w:color w:val="0E101A"/>
          <w:sz w:val="24"/>
          <w:szCs w:val="24"/>
        </w:rPr>
        <w:t>Offer a brief discussion of the history of gender within US American culture.</w:t>
      </w:r>
    </w:p>
    <w:p w:rsidR="00960A30" w:rsidRPr="00960A30" w:rsidRDefault="00960A30" w:rsidP="00982AFD">
      <w:pPr>
        <w:spacing w:after="0" w:line="480" w:lineRule="auto"/>
        <w:rPr>
          <w:rFonts w:ascii="Times New Roman" w:eastAsia="Times New Roman" w:hAnsi="Times New Roman" w:cs="Times New Roman"/>
          <w:color w:val="0E101A"/>
          <w:sz w:val="24"/>
          <w:szCs w:val="24"/>
        </w:rPr>
      </w:pPr>
      <w:r w:rsidRPr="00960A30">
        <w:rPr>
          <w:rFonts w:ascii="Times New Roman" w:eastAsia="Times New Roman" w:hAnsi="Times New Roman" w:cs="Times New Roman"/>
          <w:color w:val="0E101A"/>
          <w:sz w:val="24"/>
          <w:szCs w:val="24"/>
        </w:rPr>
        <w:t xml:space="preserve">Gender roles have drastically changed in the United States. There are no universal statements for generalizing gender roles. In the United States, there has been historical evolution about gender roles from the family unit to the dual family. During the 1960s and 1970s, women mostly dwelt on home activities while men went out to work for the family. Talcott Parsons came up with two nuclear family model which addressed gender roles, the total segregation of the role model and </w:t>
      </w:r>
      <w:r w:rsidRPr="00960A30">
        <w:rPr>
          <w:rFonts w:ascii="Times New Roman" w:eastAsia="Times New Roman" w:hAnsi="Times New Roman" w:cs="Times New Roman"/>
          <w:color w:val="0E101A"/>
          <w:sz w:val="24"/>
          <w:szCs w:val="24"/>
        </w:rPr>
        <w:lastRenderedPageBreak/>
        <w:t xml:space="preserve">the total integration </w:t>
      </w:r>
      <w:proofErr w:type="spellStart"/>
      <w:r w:rsidRPr="00960A30">
        <w:rPr>
          <w:rFonts w:ascii="Times New Roman" w:eastAsia="Times New Roman" w:hAnsi="Times New Roman" w:cs="Times New Roman"/>
          <w:color w:val="0E101A"/>
          <w:sz w:val="24"/>
          <w:szCs w:val="24"/>
        </w:rPr>
        <w:t>f</w:t>
      </w:r>
      <w:proofErr w:type="spellEnd"/>
      <w:r w:rsidRPr="00960A30">
        <w:rPr>
          <w:rFonts w:ascii="Times New Roman" w:eastAsia="Times New Roman" w:hAnsi="Times New Roman" w:cs="Times New Roman"/>
          <w:color w:val="0E101A"/>
          <w:sz w:val="24"/>
          <w:szCs w:val="24"/>
        </w:rPr>
        <w:t xml:space="preserve"> roles model. In the 1950s, total segregation of roles was almost real in the United States, whereas total integration of roles is relatively increasing in the present United States. Despite that gender inequality has been decreasing in the United States, it has still remained a challenge. Women in the United States spend much of their time in housework.</w:t>
      </w:r>
    </w:p>
    <w:p w:rsidR="00960A30" w:rsidRPr="00960A30" w:rsidRDefault="00960A30" w:rsidP="00982AFD">
      <w:pPr>
        <w:numPr>
          <w:ilvl w:val="0"/>
          <w:numId w:val="4"/>
        </w:numPr>
        <w:spacing w:after="0" w:line="480" w:lineRule="auto"/>
        <w:rPr>
          <w:rFonts w:ascii="Times New Roman" w:eastAsia="Times New Roman" w:hAnsi="Times New Roman" w:cs="Times New Roman"/>
          <w:color w:val="0E101A"/>
          <w:sz w:val="24"/>
          <w:szCs w:val="24"/>
        </w:rPr>
      </w:pPr>
      <w:r w:rsidRPr="00960A30">
        <w:rPr>
          <w:rFonts w:ascii="Times New Roman" w:eastAsia="Times New Roman" w:hAnsi="Times New Roman" w:cs="Times New Roman"/>
          <w:color w:val="0E101A"/>
          <w:sz w:val="24"/>
          <w:szCs w:val="24"/>
        </w:rPr>
        <w:t>Discuss how that history is represented or not in this episode.</w:t>
      </w:r>
    </w:p>
    <w:p w:rsidR="00960A30" w:rsidRPr="00960A30" w:rsidRDefault="00960A30" w:rsidP="00982AFD">
      <w:pPr>
        <w:spacing w:after="0" w:line="480" w:lineRule="auto"/>
        <w:rPr>
          <w:rFonts w:ascii="Times New Roman" w:eastAsia="Times New Roman" w:hAnsi="Times New Roman" w:cs="Times New Roman"/>
          <w:color w:val="0E101A"/>
          <w:sz w:val="24"/>
          <w:szCs w:val="24"/>
        </w:rPr>
      </w:pPr>
      <w:r w:rsidRPr="00960A30">
        <w:rPr>
          <w:rFonts w:ascii="Times New Roman" w:eastAsia="Times New Roman" w:hAnsi="Times New Roman" w:cs="Times New Roman"/>
          <w:color w:val="0E101A"/>
          <w:sz w:val="24"/>
          <w:szCs w:val="24"/>
        </w:rPr>
        <w:t>The history of gender roles has clearly been represented in this episode. From the episode the women who include Denise’s mother, aunt, and grandmother are mostly dealing with household chores. They are seen organizing for family celebrations. They always help in kitchen chores during the thanksgiving celebrations. The household role is also demonstrated when Denise brought her female partner, Michelle who then went help out in the kitchen. The role of upbringing children is demonstrated. From the episode, only the women participate in caring for and upbringing their children. Catherine, Denise’s mother said that she had raised her daughter in the right manner. Gender discrimination is also present in the episode. Catherine, Denise’s mother, told her daughter that she never wanted life to be hard for her for being a black woman was hard enough. This means that there is evidence of discrimination against black women.</w:t>
      </w:r>
    </w:p>
    <w:p w:rsidR="00960A30" w:rsidRPr="00960A30" w:rsidRDefault="00960A30" w:rsidP="00982AFD">
      <w:pPr>
        <w:spacing w:after="0" w:line="480" w:lineRule="auto"/>
        <w:rPr>
          <w:rFonts w:ascii="Times New Roman" w:eastAsia="Times New Roman" w:hAnsi="Times New Roman" w:cs="Times New Roman"/>
          <w:color w:val="0E101A"/>
          <w:sz w:val="24"/>
          <w:szCs w:val="24"/>
        </w:rPr>
      </w:pPr>
      <w:r w:rsidRPr="00960A30">
        <w:rPr>
          <w:rFonts w:ascii="Times New Roman" w:eastAsia="Times New Roman" w:hAnsi="Times New Roman" w:cs="Times New Roman"/>
          <w:color w:val="0E101A"/>
          <w:sz w:val="24"/>
          <w:szCs w:val="24"/>
        </w:rPr>
        <w:t>The issue of gender inequality is somehow addressed in the episode. The number of female actors for this episode is high. Denise’s mother, her grandmother herself, and her female friends are all involved in the acting. This implies that there is a representation of women in media platforms. Gender discrimination has also been demonstrated by Denise’s mother and aunt to her female friend Michelle. There is no evidence of the women on episode going out to work for them to earn income. This means that they spend most of their time on housework just like the women in the United States do.  </w:t>
      </w:r>
    </w:p>
    <w:p w:rsidR="00960A30" w:rsidRPr="00960A30" w:rsidRDefault="00960A30" w:rsidP="00982AFD">
      <w:pPr>
        <w:numPr>
          <w:ilvl w:val="0"/>
          <w:numId w:val="5"/>
        </w:numPr>
        <w:spacing w:after="0" w:line="480" w:lineRule="auto"/>
        <w:rPr>
          <w:rFonts w:ascii="Times New Roman" w:eastAsia="Times New Roman" w:hAnsi="Times New Roman" w:cs="Times New Roman"/>
          <w:color w:val="0E101A"/>
          <w:sz w:val="24"/>
          <w:szCs w:val="24"/>
        </w:rPr>
      </w:pPr>
      <w:r w:rsidRPr="00960A30">
        <w:rPr>
          <w:rFonts w:ascii="Times New Roman" w:eastAsia="Times New Roman" w:hAnsi="Times New Roman" w:cs="Times New Roman"/>
          <w:color w:val="0E101A"/>
          <w:sz w:val="24"/>
          <w:szCs w:val="24"/>
        </w:rPr>
        <w:t>How does it present the present-day culture in relation to that history?</w:t>
      </w:r>
    </w:p>
    <w:p w:rsidR="00960A30" w:rsidRPr="00960A30" w:rsidRDefault="00960A30" w:rsidP="00982AFD">
      <w:pPr>
        <w:spacing w:after="0" w:line="480" w:lineRule="auto"/>
        <w:rPr>
          <w:rFonts w:ascii="Times New Roman" w:eastAsia="Times New Roman" w:hAnsi="Times New Roman" w:cs="Times New Roman"/>
          <w:color w:val="0E101A"/>
          <w:sz w:val="24"/>
          <w:szCs w:val="24"/>
        </w:rPr>
      </w:pPr>
      <w:r w:rsidRPr="00960A30">
        <w:rPr>
          <w:rFonts w:ascii="Times New Roman" w:eastAsia="Times New Roman" w:hAnsi="Times New Roman" w:cs="Times New Roman"/>
          <w:color w:val="0E101A"/>
          <w:sz w:val="24"/>
          <w:szCs w:val="24"/>
        </w:rPr>
        <w:lastRenderedPageBreak/>
        <w:t>Currently, both women and men have been treated equally in the sharing of tasks and power as compared to past history which clearly defined women's and men's roles separately. In the present world, both men and women participate in household labor including domestic tasks and child-care although the culture defined that household chores were made for the women. Men were responsible for providing financial support. Both men and women have access to the same education institutions and studying the same content. Employment opportunities have also been made equal for both men and women.</w:t>
      </w:r>
    </w:p>
    <w:p w:rsidR="00960A30" w:rsidRPr="00960A30" w:rsidRDefault="00960A30" w:rsidP="00982AFD">
      <w:pPr>
        <w:spacing w:after="0" w:line="480" w:lineRule="auto"/>
        <w:rPr>
          <w:rFonts w:ascii="Times New Roman" w:eastAsia="Times New Roman" w:hAnsi="Times New Roman" w:cs="Times New Roman"/>
          <w:color w:val="0E101A"/>
          <w:sz w:val="24"/>
          <w:szCs w:val="24"/>
        </w:rPr>
      </w:pPr>
      <w:r w:rsidRPr="00960A30">
        <w:rPr>
          <w:rFonts w:ascii="Times New Roman" w:eastAsia="Times New Roman" w:hAnsi="Times New Roman" w:cs="Times New Roman"/>
          <w:color w:val="0E101A"/>
          <w:sz w:val="24"/>
          <w:szCs w:val="24"/>
        </w:rPr>
        <w:t>Domestic violence which mostly affected women has reduced although it is still a challenge in many parts of the world because women are still viewed as inferior to men and as property of the men. Women representation in the media platforms has also increased although men still hold higher positions. In politics, women are currently being given equal opportunities with men (Bittner et al. 1037). The division of labor in households is being practiced regardless of gender. This is a result of equality whereby both men and women are employed and therefore the need to share the domestic chores equally.</w:t>
      </w:r>
    </w:p>
    <w:p w:rsidR="00960A30" w:rsidRPr="00960A30" w:rsidRDefault="00960A30" w:rsidP="00982AFD">
      <w:pPr>
        <w:spacing w:after="0" w:line="480" w:lineRule="auto"/>
        <w:rPr>
          <w:rFonts w:ascii="Times New Roman" w:eastAsia="Times New Roman" w:hAnsi="Times New Roman" w:cs="Times New Roman"/>
          <w:color w:val="0E101A"/>
          <w:sz w:val="24"/>
          <w:szCs w:val="24"/>
        </w:rPr>
      </w:pPr>
      <w:r w:rsidRPr="00960A30">
        <w:rPr>
          <w:rFonts w:ascii="Times New Roman" w:eastAsia="Times New Roman" w:hAnsi="Times New Roman" w:cs="Times New Roman"/>
          <w:color w:val="0E101A"/>
          <w:sz w:val="24"/>
          <w:szCs w:val="24"/>
        </w:rPr>
        <w:t>Conclusion.</w:t>
      </w:r>
    </w:p>
    <w:p w:rsidR="00960A30" w:rsidRPr="00982AFD" w:rsidRDefault="00960A30" w:rsidP="00982AFD">
      <w:pPr>
        <w:spacing w:after="0" w:line="480" w:lineRule="auto"/>
        <w:rPr>
          <w:rFonts w:ascii="Times New Roman" w:eastAsia="Times New Roman" w:hAnsi="Times New Roman" w:cs="Times New Roman"/>
          <w:color w:val="0E101A"/>
          <w:sz w:val="24"/>
          <w:szCs w:val="24"/>
        </w:rPr>
      </w:pPr>
      <w:r w:rsidRPr="00960A30">
        <w:rPr>
          <w:rFonts w:ascii="Times New Roman" w:eastAsia="Times New Roman" w:hAnsi="Times New Roman" w:cs="Times New Roman"/>
          <w:color w:val="0E101A"/>
          <w:sz w:val="24"/>
          <w:szCs w:val="24"/>
        </w:rPr>
        <w:t>The media is an important source of empowerment for both men and women. Traditionally, men dominated the media platforms but in the current world there almost equal representation of both genders. The United States experiences gender inequalities just like the other countries in the world. The television show Master of None s2, e8, “Thanksgiving” demonstrated gender issues both negative and positive. The positive part is the inclusivity of female actors while the negative part is demonstrated by the assignment of household chores to the women. Gender issues have continued to be improved in the current world.</w:t>
      </w:r>
    </w:p>
    <w:p w:rsidR="0043352C" w:rsidRDefault="0043352C" w:rsidP="004355AC">
      <w:pPr>
        <w:spacing w:after="0" w:line="480" w:lineRule="auto"/>
        <w:rPr>
          <w:rFonts w:ascii="Times New Roman" w:eastAsia="Times New Roman" w:hAnsi="Times New Roman" w:cs="Times New Roman"/>
          <w:color w:val="0E101A"/>
          <w:sz w:val="24"/>
          <w:szCs w:val="24"/>
        </w:rPr>
      </w:pPr>
    </w:p>
    <w:p w:rsidR="00960A30" w:rsidRPr="00960A30" w:rsidRDefault="00960A30" w:rsidP="0043352C">
      <w:pPr>
        <w:spacing w:after="0" w:line="480" w:lineRule="auto"/>
        <w:jc w:val="center"/>
        <w:rPr>
          <w:rFonts w:ascii="Times New Roman" w:eastAsia="Times New Roman" w:hAnsi="Times New Roman" w:cs="Times New Roman"/>
          <w:color w:val="0E101A"/>
          <w:sz w:val="24"/>
          <w:szCs w:val="24"/>
        </w:rPr>
      </w:pPr>
      <w:bookmarkStart w:id="0" w:name="_GoBack"/>
      <w:bookmarkEnd w:id="0"/>
      <w:r w:rsidRPr="00982AFD">
        <w:rPr>
          <w:rFonts w:ascii="Times New Roman" w:eastAsia="Times New Roman" w:hAnsi="Times New Roman" w:cs="Times New Roman"/>
          <w:color w:val="0E101A"/>
          <w:sz w:val="24"/>
          <w:szCs w:val="24"/>
        </w:rPr>
        <w:lastRenderedPageBreak/>
        <w:t>References.</w:t>
      </w:r>
    </w:p>
    <w:p w:rsidR="00960A30" w:rsidRPr="00960A30" w:rsidRDefault="00960A30" w:rsidP="00982AFD">
      <w:pPr>
        <w:numPr>
          <w:ilvl w:val="0"/>
          <w:numId w:val="6"/>
        </w:numPr>
        <w:spacing w:after="0" w:line="480" w:lineRule="auto"/>
        <w:jc w:val="center"/>
        <w:rPr>
          <w:rFonts w:ascii="Times New Roman" w:eastAsia="Times New Roman" w:hAnsi="Times New Roman" w:cs="Times New Roman"/>
          <w:color w:val="0E101A"/>
          <w:sz w:val="24"/>
          <w:szCs w:val="24"/>
        </w:rPr>
      </w:pPr>
      <w:r w:rsidRPr="00960A30">
        <w:rPr>
          <w:rFonts w:ascii="Times New Roman" w:eastAsia="Times New Roman" w:hAnsi="Times New Roman" w:cs="Times New Roman"/>
          <w:color w:val="0E101A"/>
          <w:sz w:val="24"/>
          <w:szCs w:val="24"/>
        </w:rPr>
        <w:t>Bittner, Amanda, and Elizabeth Goodyear-Grant. "Sex isn’t gender: Reforming concepts and measurements in the study of public opinion." </w:t>
      </w:r>
      <w:r w:rsidRPr="00982AFD">
        <w:rPr>
          <w:rFonts w:ascii="Times New Roman" w:eastAsia="Times New Roman" w:hAnsi="Times New Roman" w:cs="Times New Roman"/>
          <w:i/>
          <w:iCs/>
          <w:color w:val="0E101A"/>
          <w:sz w:val="24"/>
          <w:szCs w:val="24"/>
        </w:rPr>
        <w:t>Political Behavior</w:t>
      </w:r>
      <w:r w:rsidRPr="00960A30">
        <w:rPr>
          <w:rFonts w:ascii="Times New Roman" w:eastAsia="Times New Roman" w:hAnsi="Times New Roman" w:cs="Times New Roman"/>
          <w:color w:val="0E101A"/>
          <w:sz w:val="24"/>
          <w:szCs w:val="24"/>
        </w:rPr>
        <w:t> 39.4 (2017): 1019-1041.</w:t>
      </w:r>
    </w:p>
    <w:p w:rsidR="00960A30" w:rsidRPr="00960A30" w:rsidRDefault="00960A30" w:rsidP="00982AFD">
      <w:pPr>
        <w:spacing w:after="0" w:line="480" w:lineRule="auto"/>
        <w:jc w:val="center"/>
        <w:rPr>
          <w:rFonts w:ascii="Times New Roman" w:eastAsia="Times New Roman" w:hAnsi="Times New Roman" w:cs="Times New Roman"/>
          <w:color w:val="0E101A"/>
          <w:sz w:val="24"/>
          <w:szCs w:val="24"/>
        </w:rPr>
      </w:pPr>
    </w:p>
    <w:p w:rsidR="00960A30" w:rsidRPr="00982AFD" w:rsidRDefault="00960A30" w:rsidP="00982AFD">
      <w:pPr>
        <w:pStyle w:val="ListParagraph"/>
        <w:numPr>
          <w:ilvl w:val="0"/>
          <w:numId w:val="6"/>
        </w:numPr>
        <w:spacing w:after="0" w:line="480" w:lineRule="auto"/>
        <w:jc w:val="center"/>
        <w:rPr>
          <w:rFonts w:ascii="Times New Roman" w:eastAsia="Times New Roman" w:hAnsi="Times New Roman" w:cs="Times New Roman"/>
          <w:color w:val="0E101A"/>
          <w:sz w:val="24"/>
          <w:szCs w:val="24"/>
        </w:rPr>
      </w:pPr>
      <w:r w:rsidRPr="00982AFD">
        <w:rPr>
          <w:rFonts w:ascii="Times New Roman" w:eastAsia="Times New Roman" w:hAnsi="Times New Roman" w:cs="Times New Roman"/>
          <w:color w:val="0E101A"/>
          <w:sz w:val="24"/>
          <w:szCs w:val="24"/>
        </w:rPr>
        <w:t>Mwangi, Zipporah. </w:t>
      </w:r>
      <w:r w:rsidRPr="00982AFD">
        <w:rPr>
          <w:rFonts w:ascii="Times New Roman" w:eastAsia="Times New Roman" w:hAnsi="Times New Roman" w:cs="Times New Roman"/>
          <w:i/>
          <w:iCs/>
          <w:color w:val="0E101A"/>
          <w:sz w:val="24"/>
          <w:szCs w:val="24"/>
        </w:rPr>
        <w:t>Gender And The Mass Media: An Analysis Of Gender Representation In TV Commercials Aired During Prime Time News On Citizen TV Station</w:t>
      </w:r>
      <w:r w:rsidRPr="00982AFD">
        <w:rPr>
          <w:rFonts w:ascii="Times New Roman" w:eastAsia="Times New Roman" w:hAnsi="Times New Roman" w:cs="Times New Roman"/>
          <w:color w:val="0E101A"/>
          <w:sz w:val="24"/>
          <w:szCs w:val="24"/>
        </w:rPr>
        <w:t xml:space="preserve">. Diss. University </w:t>
      </w:r>
      <w:proofErr w:type="gramStart"/>
      <w:r w:rsidRPr="00982AFD">
        <w:rPr>
          <w:rFonts w:ascii="Times New Roman" w:eastAsia="Times New Roman" w:hAnsi="Times New Roman" w:cs="Times New Roman"/>
          <w:color w:val="0E101A"/>
          <w:sz w:val="24"/>
          <w:szCs w:val="24"/>
        </w:rPr>
        <w:t>Of</w:t>
      </w:r>
      <w:proofErr w:type="gramEnd"/>
      <w:r w:rsidRPr="00982AFD">
        <w:rPr>
          <w:rFonts w:ascii="Times New Roman" w:eastAsia="Times New Roman" w:hAnsi="Times New Roman" w:cs="Times New Roman"/>
          <w:color w:val="0E101A"/>
          <w:sz w:val="24"/>
          <w:szCs w:val="24"/>
        </w:rPr>
        <w:t xml:space="preserve"> Nairobi, 2016.</w:t>
      </w:r>
    </w:p>
    <w:p w:rsidR="00960A30" w:rsidRPr="00960A30" w:rsidRDefault="00960A30" w:rsidP="00982AFD">
      <w:pPr>
        <w:spacing w:after="0" w:line="480" w:lineRule="auto"/>
        <w:rPr>
          <w:rFonts w:ascii="Times New Roman" w:eastAsia="Times New Roman" w:hAnsi="Times New Roman" w:cs="Times New Roman"/>
          <w:color w:val="0E101A"/>
          <w:sz w:val="24"/>
          <w:szCs w:val="24"/>
        </w:rPr>
      </w:pPr>
    </w:p>
    <w:p w:rsidR="00960A30" w:rsidRPr="00960A30" w:rsidRDefault="00960A30" w:rsidP="00982AFD">
      <w:pPr>
        <w:spacing w:after="0" w:line="480" w:lineRule="auto"/>
        <w:rPr>
          <w:rFonts w:ascii="Times New Roman" w:eastAsia="Times New Roman" w:hAnsi="Times New Roman" w:cs="Times New Roman"/>
          <w:color w:val="0E101A"/>
          <w:sz w:val="24"/>
          <w:szCs w:val="24"/>
        </w:rPr>
      </w:pPr>
    </w:p>
    <w:p w:rsidR="00960A30" w:rsidRPr="00960A30" w:rsidRDefault="00960A30" w:rsidP="00982AFD">
      <w:pPr>
        <w:spacing w:after="0" w:line="480" w:lineRule="auto"/>
        <w:rPr>
          <w:rFonts w:ascii="Times New Roman" w:eastAsia="Times New Roman" w:hAnsi="Times New Roman" w:cs="Times New Roman"/>
          <w:color w:val="0E101A"/>
          <w:sz w:val="24"/>
          <w:szCs w:val="24"/>
        </w:rPr>
      </w:pPr>
    </w:p>
    <w:p w:rsidR="00960A30" w:rsidRPr="00960A30" w:rsidRDefault="00960A30" w:rsidP="00982AFD">
      <w:pPr>
        <w:spacing w:after="0" w:line="480" w:lineRule="auto"/>
        <w:rPr>
          <w:rFonts w:ascii="Times New Roman" w:eastAsia="Times New Roman" w:hAnsi="Times New Roman" w:cs="Times New Roman"/>
          <w:color w:val="0E101A"/>
          <w:sz w:val="24"/>
          <w:szCs w:val="24"/>
        </w:rPr>
      </w:pPr>
    </w:p>
    <w:p w:rsidR="00893053" w:rsidRPr="00982AFD" w:rsidRDefault="00893053" w:rsidP="00982AFD">
      <w:pPr>
        <w:spacing w:line="480" w:lineRule="auto"/>
        <w:rPr>
          <w:rFonts w:ascii="Times New Roman" w:hAnsi="Times New Roman" w:cs="Times New Roman"/>
          <w:sz w:val="24"/>
          <w:szCs w:val="24"/>
        </w:rPr>
      </w:pPr>
    </w:p>
    <w:sectPr w:rsidR="00893053" w:rsidRPr="00982AF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02B3" w:rsidRDefault="00DF02B3" w:rsidP="00982AFD">
      <w:pPr>
        <w:spacing w:after="0" w:line="240" w:lineRule="auto"/>
      </w:pPr>
      <w:r>
        <w:separator/>
      </w:r>
    </w:p>
  </w:endnote>
  <w:endnote w:type="continuationSeparator" w:id="0">
    <w:p w:rsidR="00DF02B3" w:rsidRDefault="00DF02B3" w:rsidP="00982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02B3" w:rsidRDefault="00DF02B3" w:rsidP="00982AFD">
      <w:pPr>
        <w:spacing w:after="0" w:line="240" w:lineRule="auto"/>
      </w:pPr>
      <w:r>
        <w:separator/>
      </w:r>
    </w:p>
  </w:footnote>
  <w:footnote w:type="continuationSeparator" w:id="0">
    <w:p w:rsidR="00DF02B3" w:rsidRDefault="00DF02B3" w:rsidP="00982A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4969847"/>
      <w:docPartObj>
        <w:docPartGallery w:val="Page Numbers (Top of Page)"/>
        <w:docPartUnique/>
      </w:docPartObj>
    </w:sdtPr>
    <w:sdtEndPr>
      <w:rPr>
        <w:noProof/>
      </w:rPr>
    </w:sdtEndPr>
    <w:sdtContent>
      <w:p w:rsidR="00982AFD" w:rsidRDefault="00315119" w:rsidP="00315119">
        <w:pPr>
          <w:pStyle w:val="Header"/>
          <w:tabs>
            <w:tab w:val="left" w:pos="7200"/>
          </w:tabs>
        </w:pPr>
        <w:r>
          <w:t xml:space="preserve">                                                                           </w:t>
        </w:r>
        <w:r>
          <w:tab/>
        </w:r>
        <w:r>
          <w:tab/>
        </w:r>
        <w:r w:rsidR="0043352C">
          <w:t xml:space="preserve">Surname </w:t>
        </w:r>
        <w:r w:rsidR="00982AFD">
          <w:fldChar w:fldCharType="begin"/>
        </w:r>
        <w:r w:rsidR="00982AFD">
          <w:instrText xml:space="preserve"> PAGE   \* MERGEFORMAT </w:instrText>
        </w:r>
        <w:r w:rsidR="00982AFD">
          <w:fldChar w:fldCharType="separate"/>
        </w:r>
        <w:r w:rsidR="0043352C">
          <w:rPr>
            <w:noProof/>
          </w:rPr>
          <w:t>3</w:t>
        </w:r>
        <w:r w:rsidR="00982AFD">
          <w:rPr>
            <w:noProof/>
          </w:rPr>
          <w:fldChar w:fldCharType="end"/>
        </w:r>
      </w:p>
    </w:sdtContent>
  </w:sdt>
  <w:p w:rsidR="00982AFD" w:rsidRDefault="00982AF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516B92"/>
    <w:multiLevelType w:val="multilevel"/>
    <w:tmpl w:val="FA74F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5EC3C48"/>
    <w:multiLevelType w:val="hybridMultilevel"/>
    <w:tmpl w:val="774AE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115BB3"/>
    <w:multiLevelType w:val="multilevel"/>
    <w:tmpl w:val="3440FD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B39356F"/>
    <w:multiLevelType w:val="multilevel"/>
    <w:tmpl w:val="47342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28570AF"/>
    <w:multiLevelType w:val="multilevel"/>
    <w:tmpl w:val="55CC0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08F6C1E"/>
    <w:multiLevelType w:val="multilevel"/>
    <w:tmpl w:val="F738C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F1E7BA0"/>
    <w:multiLevelType w:val="hybridMultilevel"/>
    <w:tmpl w:val="3BBE42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0"/>
  </w:num>
  <w:num w:numId="5">
    <w:abstractNumId w:val="5"/>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FEE"/>
    <w:rsid w:val="00026D22"/>
    <w:rsid w:val="00126FEE"/>
    <w:rsid w:val="001412B2"/>
    <w:rsid w:val="00181CD8"/>
    <w:rsid w:val="001D553A"/>
    <w:rsid w:val="0026325D"/>
    <w:rsid w:val="002C4775"/>
    <w:rsid w:val="002D0B94"/>
    <w:rsid w:val="002E5E09"/>
    <w:rsid w:val="00315119"/>
    <w:rsid w:val="003576A9"/>
    <w:rsid w:val="003F0DDE"/>
    <w:rsid w:val="00412B49"/>
    <w:rsid w:val="0043352C"/>
    <w:rsid w:val="004355AC"/>
    <w:rsid w:val="004872E4"/>
    <w:rsid w:val="00511819"/>
    <w:rsid w:val="005367AB"/>
    <w:rsid w:val="00577BB3"/>
    <w:rsid w:val="005A6907"/>
    <w:rsid w:val="00607D6C"/>
    <w:rsid w:val="006467E8"/>
    <w:rsid w:val="00683CD6"/>
    <w:rsid w:val="00722516"/>
    <w:rsid w:val="00725F50"/>
    <w:rsid w:val="00750C76"/>
    <w:rsid w:val="0075694F"/>
    <w:rsid w:val="00767DC0"/>
    <w:rsid w:val="007978E7"/>
    <w:rsid w:val="007E208D"/>
    <w:rsid w:val="008107D4"/>
    <w:rsid w:val="00825598"/>
    <w:rsid w:val="00830CF9"/>
    <w:rsid w:val="00893053"/>
    <w:rsid w:val="008A4D4C"/>
    <w:rsid w:val="008B5B26"/>
    <w:rsid w:val="00960A30"/>
    <w:rsid w:val="00966AE6"/>
    <w:rsid w:val="00982AFD"/>
    <w:rsid w:val="009833AF"/>
    <w:rsid w:val="009B5968"/>
    <w:rsid w:val="009D0AE0"/>
    <w:rsid w:val="009D7870"/>
    <w:rsid w:val="009F3656"/>
    <w:rsid w:val="00A2337D"/>
    <w:rsid w:val="00A76CAF"/>
    <w:rsid w:val="00A92143"/>
    <w:rsid w:val="00AC575B"/>
    <w:rsid w:val="00AC60EF"/>
    <w:rsid w:val="00B322E6"/>
    <w:rsid w:val="00B42B57"/>
    <w:rsid w:val="00B467DF"/>
    <w:rsid w:val="00B50141"/>
    <w:rsid w:val="00B7767E"/>
    <w:rsid w:val="00B83D39"/>
    <w:rsid w:val="00BB46E5"/>
    <w:rsid w:val="00C05CF9"/>
    <w:rsid w:val="00C27ACE"/>
    <w:rsid w:val="00C37CD1"/>
    <w:rsid w:val="00C46A37"/>
    <w:rsid w:val="00C52882"/>
    <w:rsid w:val="00C6752D"/>
    <w:rsid w:val="00C87714"/>
    <w:rsid w:val="00C97DA2"/>
    <w:rsid w:val="00CB102B"/>
    <w:rsid w:val="00CF4068"/>
    <w:rsid w:val="00D03764"/>
    <w:rsid w:val="00D439D0"/>
    <w:rsid w:val="00D565E0"/>
    <w:rsid w:val="00DC2498"/>
    <w:rsid w:val="00DF02B3"/>
    <w:rsid w:val="00E16AD8"/>
    <w:rsid w:val="00E231A0"/>
    <w:rsid w:val="00E25657"/>
    <w:rsid w:val="00E54765"/>
    <w:rsid w:val="00E56352"/>
    <w:rsid w:val="00EA0FCA"/>
    <w:rsid w:val="00EF170D"/>
    <w:rsid w:val="00EF185A"/>
    <w:rsid w:val="00F00FAE"/>
    <w:rsid w:val="00F03804"/>
    <w:rsid w:val="00F162D5"/>
    <w:rsid w:val="00F71FFE"/>
    <w:rsid w:val="00F8725E"/>
    <w:rsid w:val="00FF50B6"/>
    <w:rsid w:val="00FF7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2F17C5-72C5-41F3-B948-5E5A73F6E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6F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6FEE"/>
    <w:pPr>
      <w:ind w:left="720"/>
      <w:contextualSpacing/>
    </w:pPr>
  </w:style>
  <w:style w:type="paragraph" w:styleId="NormalWeb">
    <w:name w:val="Normal (Web)"/>
    <w:basedOn w:val="Normal"/>
    <w:uiPriority w:val="99"/>
    <w:semiHidden/>
    <w:unhideWhenUsed/>
    <w:rsid w:val="00960A3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60A30"/>
    <w:rPr>
      <w:i/>
      <w:iCs/>
    </w:rPr>
  </w:style>
  <w:style w:type="paragraph" w:styleId="Header">
    <w:name w:val="header"/>
    <w:basedOn w:val="Normal"/>
    <w:link w:val="HeaderChar"/>
    <w:uiPriority w:val="99"/>
    <w:unhideWhenUsed/>
    <w:rsid w:val="00982A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2AFD"/>
  </w:style>
  <w:style w:type="paragraph" w:styleId="Footer">
    <w:name w:val="footer"/>
    <w:basedOn w:val="Normal"/>
    <w:link w:val="FooterChar"/>
    <w:uiPriority w:val="99"/>
    <w:unhideWhenUsed/>
    <w:rsid w:val="00982A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2A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8475625">
      <w:bodyDiv w:val="1"/>
      <w:marLeft w:val="0"/>
      <w:marRight w:val="0"/>
      <w:marTop w:val="0"/>
      <w:marBottom w:val="0"/>
      <w:divBdr>
        <w:top w:val="none" w:sz="0" w:space="0" w:color="auto"/>
        <w:left w:val="none" w:sz="0" w:space="0" w:color="auto"/>
        <w:bottom w:val="none" w:sz="0" w:space="0" w:color="auto"/>
        <w:right w:val="none" w:sz="0" w:space="0" w:color="auto"/>
      </w:divBdr>
    </w:div>
    <w:div w:id="1723553863">
      <w:bodyDiv w:val="1"/>
      <w:marLeft w:val="0"/>
      <w:marRight w:val="0"/>
      <w:marTop w:val="0"/>
      <w:marBottom w:val="0"/>
      <w:divBdr>
        <w:top w:val="none" w:sz="0" w:space="0" w:color="auto"/>
        <w:left w:val="none" w:sz="0" w:space="0" w:color="auto"/>
        <w:bottom w:val="none" w:sz="0" w:space="0" w:color="auto"/>
        <w:right w:val="none" w:sz="0" w:space="0" w:color="auto"/>
      </w:divBdr>
      <w:divsChild>
        <w:div w:id="1691301624">
          <w:marLeft w:val="0"/>
          <w:marRight w:val="0"/>
          <w:marTop w:val="0"/>
          <w:marBottom w:val="0"/>
          <w:divBdr>
            <w:top w:val="none" w:sz="0" w:space="0" w:color="auto"/>
            <w:left w:val="none" w:sz="0" w:space="0" w:color="auto"/>
            <w:bottom w:val="none" w:sz="0" w:space="0" w:color="auto"/>
            <w:right w:val="none" w:sz="0" w:space="0" w:color="auto"/>
          </w:divBdr>
        </w:div>
      </w:divsChild>
    </w:div>
    <w:div w:id="1858150213">
      <w:bodyDiv w:val="1"/>
      <w:marLeft w:val="0"/>
      <w:marRight w:val="0"/>
      <w:marTop w:val="0"/>
      <w:marBottom w:val="0"/>
      <w:divBdr>
        <w:top w:val="none" w:sz="0" w:space="0" w:color="auto"/>
        <w:left w:val="none" w:sz="0" w:space="0" w:color="auto"/>
        <w:bottom w:val="none" w:sz="0" w:space="0" w:color="auto"/>
        <w:right w:val="none" w:sz="0" w:space="0" w:color="auto"/>
      </w:divBdr>
      <w:divsChild>
        <w:div w:id="1361189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4</Pages>
  <Words>846</Words>
  <Characters>4824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dc:creator>
  <cp:keywords/>
  <dc:description/>
  <cp:lastModifiedBy>YVONNE</cp:lastModifiedBy>
  <cp:revision>85</cp:revision>
  <dcterms:created xsi:type="dcterms:W3CDTF">2020-11-14T00:20:00Z</dcterms:created>
  <dcterms:modified xsi:type="dcterms:W3CDTF">2020-11-14T03:27:00Z</dcterms:modified>
</cp:coreProperties>
</file>